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F8" w:rsidRPr="006269F8" w:rsidRDefault="006269F8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6269F8" w:rsidRDefault="006269F8" w:rsidP="006269F8">
      <w:pPr>
        <w:jc w:val="both"/>
        <w:rPr>
          <w:sz w:val="28"/>
          <w:szCs w:val="28"/>
          <w:lang w:val="ru-RU"/>
        </w:rPr>
      </w:pPr>
    </w:p>
    <w:p w:rsidR="00DD5A04" w:rsidRPr="00DD5A04" w:rsidRDefault="00DD5A04" w:rsidP="006269F8">
      <w:pPr>
        <w:jc w:val="both"/>
        <w:rPr>
          <w:b/>
          <w:sz w:val="28"/>
          <w:szCs w:val="28"/>
          <w:lang w:val="ru-RU"/>
        </w:rPr>
      </w:pPr>
      <w:r w:rsidRPr="00DD5A04">
        <w:rPr>
          <w:b/>
          <w:sz w:val="28"/>
          <w:szCs w:val="28"/>
          <w:highlight w:val="yellow"/>
          <w:lang w:val="ru-RU"/>
        </w:rPr>
        <w:t>_</w:t>
      </w:r>
      <w:r w:rsidR="009E1F75">
        <w:rPr>
          <w:b/>
          <w:sz w:val="28"/>
          <w:szCs w:val="28"/>
          <w:highlight w:val="yellow"/>
          <w:lang w:val="ru-RU"/>
        </w:rPr>
        <w:t>МКДОУ «</w:t>
      </w:r>
      <w:proofErr w:type="spellStart"/>
      <w:r w:rsidR="009E1F75">
        <w:rPr>
          <w:b/>
          <w:sz w:val="28"/>
          <w:szCs w:val="28"/>
          <w:highlight w:val="yellow"/>
          <w:lang w:val="ru-RU"/>
        </w:rPr>
        <w:t>Ортастальский</w:t>
      </w:r>
      <w:proofErr w:type="spellEnd"/>
      <w:r w:rsidR="002C5625">
        <w:rPr>
          <w:b/>
          <w:sz w:val="28"/>
          <w:szCs w:val="28"/>
          <w:highlight w:val="yellow"/>
          <w:lang w:val="ru-RU"/>
        </w:rPr>
        <w:t xml:space="preserve"> детский сад»</w:t>
      </w:r>
      <w:r w:rsidRPr="00DD5A04">
        <w:rPr>
          <w:b/>
          <w:sz w:val="28"/>
          <w:szCs w:val="28"/>
          <w:highlight w:val="yellow"/>
          <w:lang w:val="ru-RU"/>
        </w:rPr>
        <w:t xml:space="preserve"> (наименование образовательной организации дошкольного образования)</w:t>
      </w:r>
      <w:r w:rsidRPr="00DD5A04">
        <w:rPr>
          <w:rStyle w:val="a6"/>
          <w:b/>
          <w:sz w:val="28"/>
          <w:szCs w:val="28"/>
          <w:lang w:val="ru-RU"/>
        </w:rPr>
        <w:footnoteReference w:id="1"/>
      </w:r>
      <w:bookmarkStart w:id="0" w:name="_GoBack"/>
      <w:bookmarkEnd w:id="0"/>
    </w:p>
    <w:p w:rsidR="00DD5A04" w:rsidRDefault="00DD5A04" w:rsidP="006269F8">
      <w:pPr>
        <w:jc w:val="both"/>
        <w:rPr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5996" w:rsidTr="005C5996"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5C5996" w:rsidTr="005C5996">
        <w:tc>
          <w:tcPr>
            <w:tcW w:w="3190" w:type="dxa"/>
          </w:tcPr>
          <w:p w:rsidR="005C5996" w:rsidRDefault="0009558F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3190" w:type="dxa"/>
          </w:tcPr>
          <w:p w:rsidR="005C5996" w:rsidRDefault="0009558F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91" w:type="dxa"/>
          </w:tcPr>
          <w:p w:rsidR="005C5996" w:rsidRDefault="0009558F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240</w:t>
            </w:r>
          </w:p>
        </w:tc>
      </w:tr>
    </w:tbl>
    <w:p w:rsidR="005C5996" w:rsidRDefault="005C5996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9F21B6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9F21B6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33"/>
        <w:gridCol w:w="1856"/>
        <w:gridCol w:w="151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Консультативная поддержка педагогических </w:t>
            </w:r>
            <w:r w:rsidRPr="006269F8">
              <w:rPr>
                <w:rFonts w:eastAsiaTheme="minorHAnsi"/>
                <w:lang w:val="ru-RU"/>
              </w:rPr>
              <w:lastRenderedPageBreak/>
              <w:t>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</w:t>
            </w:r>
            <w:r w:rsidRPr="00D264CE">
              <w:rPr>
                <w:rFonts w:eastAsiaTheme="minorHAnsi"/>
              </w:rPr>
              <w:t>рупп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комбинированной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 w:rsidRPr="00D264CE">
              <w:rPr>
                <w:rFonts w:eastAsiaTheme="minorHAnsi"/>
              </w:rPr>
              <w:t>Программы</w:t>
            </w:r>
            <w:proofErr w:type="spellEnd"/>
            <w:r w:rsidRPr="00D264CE">
              <w:rPr>
                <w:rFonts w:eastAsiaTheme="minorHAnsi"/>
              </w:rPr>
              <w:t xml:space="preserve">, в </w:t>
            </w:r>
            <w:proofErr w:type="spellStart"/>
            <w:r w:rsidRPr="00D264CE">
              <w:rPr>
                <w:rFonts w:eastAsiaTheme="minorHAnsi"/>
              </w:rPr>
              <w:t>том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числе</w:t>
            </w:r>
            <w:proofErr w:type="spellEnd"/>
            <w:r w:rsidRPr="00D264CE">
              <w:rPr>
                <w:rFonts w:eastAsiaTheme="minorHAnsi"/>
              </w:rPr>
              <w:t xml:space="preserve"> в </w:t>
            </w:r>
            <w:proofErr w:type="spellStart"/>
            <w:r w:rsidRPr="00D264CE">
              <w:rPr>
                <w:rFonts w:eastAsiaTheme="minorHAnsi"/>
              </w:rPr>
              <w:t>информационной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r w:rsidR="00BF2A7A">
              <w:fldChar w:fldCharType="begin"/>
            </w:r>
            <w:r w:rsidR="00BF2A7A" w:rsidRPr="006B69EB">
              <w:rPr>
                <w:lang w:val="ru-RU"/>
              </w:rPr>
              <w:instrText xml:space="preserve"> </w:instrText>
            </w:r>
            <w:r w:rsidR="00BF2A7A">
              <w:instrText>HYPERLINK</w:instrText>
            </w:r>
            <w:r w:rsidR="00BF2A7A" w:rsidRPr="006B69EB">
              <w:rPr>
                <w:lang w:val="ru-RU"/>
              </w:rPr>
              <w:instrText xml:space="preserve"> "</w:instrText>
            </w:r>
            <w:r w:rsidR="00BF2A7A">
              <w:instrText>consultantplus</w:instrText>
            </w:r>
            <w:r w:rsidR="00BF2A7A" w:rsidRPr="006B69EB">
              <w:rPr>
                <w:lang w:val="ru-RU"/>
              </w:rPr>
              <w:instrText>://</w:instrText>
            </w:r>
            <w:r w:rsidR="00BF2A7A">
              <w:instrText>offline</w:instrText>
            </w:r>
            <w:r w:rsidR="00BF2A7A" w:rsidRPr="006B69EB">
              <w:rPr>
                <w:lang w:val="ru-RU"/>
              </w:rPr>
              <w:instrText>/</w:instrText>
            </w:r>
            <w:r w:rsidR="00BF2A7A">
              <w:instrText>ref</w:instrText>
            </w:r>
            <w:r w:rsidR="00BF2A7A" w:rsidRPr="006B69EB">
              <w:rPr>
                <w:lang w:val="ru-RU"/>
              </w:rPr>
              <w:instrText>=9381</w:instrText>
            </w:r>
            <w:r w:rsidR="00BF2A7A">
              <w:instrText>F</w:instrText>
            </w:r>
            <w:r w:rsidR="00BF2A7A" w:rsidRPr="006B69EB">
              <w:rPr>
                <w:lang w:val="ru-RU"/>
              </w:rPr>
              <w:instrText>66</w:instrText>
            </w:r>
            <w:r w:rsidR="00BF2A7A">
              <w:instrText>FB</w:instrText>
            </w:r>
            <w:r w:rsidR="00BF2A7A" w:rsidRPr="006B69EB">
              <w:rPr>
                <w:lang w:val="ru-RU"/>
              </w:rPr>
              <w:instrText>1</w:instrText>
            </w:r>
            <w:r w:rsidR="00BF2A7A">
              <w:instrText>D</w:instrText>
            </w:r>
            <w:r w:rsidR="00BF2A7A" w:rsidRPr="006B69EB">
              <w:rPr>
                <w:lang w:val="ru-RU"/>
              </w:rPr>
              <w:instrText>3</w:instrText>
            </w:r>
            <w:r w:rsidR="00BF2A7A">
              <w:instrText>AF</w:instrText>
            </w:r>
            <w:r w:rsidR="00BF2A7A" w:rsidRPr="006B69EB">
              <w:rPr>
                <w:lang w:val="ru-RU"/>
              </w:rPr>
              <w:instrText>5760</w:instrText>
            </w:r>
            <w:r w:rsidR="00BF2A7A">
              <w:instrText>D</w:instrText>
            </w:r>
            <w:r w:rsidR="00BF2A7A" w:rsidRPr="006B69EB">
              <w:rPr>
                <w:lang w:val="ru-RU"/>
              </w:rPr>
              <w:instrText>6</w:instrText>
            </w:r>
            <w:r w:rsidR="00BF2A7A">
              <w:instrText>E</w:instrText>
            </w:r>
            <w:r w:rsidR="00BF2A7A" w:rsidRPr="006B69EB">
              <w:rPr>
                <w:lang w:val="ru-RU"/>
              </w:rPr>
              <w:instrText>80915905</w:instrText>
            </w:r>
            <w:r w:rsidR="00BF2A7A">
              <w:instrText>BD</w:instrText>
            </w:r>
            <w:r w:rsidR="00BF2A7A" w:rsidRPr="006B69EB">
              <w:rPr>
                <w:lang w:val="ru-RU"/>
              </w:rPr>
              <w:instrText>224697</w:instrText>
            </w:r>
            <w:r w:rsidR="00BF2A7A">
              <w:instrText>B</w:instrText>
            </w:r>
            <w:r w:rsidR="00BF2A7A" w:rsidRPr="006B69EB">
              <w:rPr>
                <w:lang w:val="ru-RU"/>
              </w:rPr>
              <w:instrText>4</w:instrText>
            </w:r>
            <w:r w:rsidR="00BF2A7A">
              <w:instrText>AB</w:instrText>
            </w:r>
            <w:r w:rsidR="00BF2A7A" w:rsidRPr="006B69EB">
              <w:rPr>
                <w:lang w:val="ru-RU"/>
              </w:rPr>
              <w:instrText>0931668</w:instrText>
            </w:r>
            <w:r w:rsidR="00BF2A7A">
              <w:instrText>C</w:instrText>
            </w:r>
            <w:r w:rsidR="00BF2A7A" w:rsidRPr="006B69EB">
              <w:rPr>
                <w:lang w:val="ru-RU"/>
              </w:rPr>
              <w:instrText>62940</w:instrText>
            </w:r>
            <w:r w:rsidR="00BF2A7A">
              <w:instrText>FDA</w:instrText>
            </w:r>
            <w:r w:rsidR="00BF2A7A" w:rsidRPr="006B69EB">
              <w:rPr>
                <w:lang w:val="ru-RU"/>
              </w:rPr>
              <w:instrText>0</w:instrText>
            </w:r>
            <w:r w:rsidR="00BF2A7A">
              <w:instrText>ED</w:instrText>
            </w:r>
            <w:r w:rsidR="00BF2A7A" w:rsidRPr="006B69EB">
              <w:rPr>
                <w:lang w:val="ru-RU"/>
              </w:rPr>
              <w:instrText>9627</w:instrText>
            </w:r>
            <w:r w:rsidR="00BF2A7A">
              <w:instrText>CB</w:instrText>
            </w:r>
            <w:r w:rsidR="00BF2A7A" w:rsidRPr="006B69EB">
              <w:rPr>
                <w:lang w:val="ru-RU"/>
              </w:rPr>
              <w:instrText>219209</w:instrText>
            </w:r>
            <w:r w:rsidR="00BF2A7A">
              <w:instrText>D</w:instrText>
            </w:r>
            <w:r w:rsidR="00BF2A7A" w:rsidRPr="006B69EB">
              <w:rPr>
                <w:lang w:val="ru-RU"/>
              </w:rPr>
              <w:instrText>17</w:instrText>
            </w:r>
            <w:r w:rsidR="00BF2A7A">
              <w:instrText>A</w:instrText>
            </w:r>
            <w:r w:rsidR="00BF2A7A" w:rsidRPr="006B69EB">
              <w:rPr>
                <w:lang w:val="ru-RU"/>
              </w:rPr>
              <w:instrText>5433</w:instrText>
            </w:r>
            <w:r w:rsidR="00BF2A7A">
              <w:instrText>E</w:instrText>
            </w:r>
            <w:r w:rsidR="00BF2A7A" w:rsidRPr="006B69EB">
              <w:rPr>
                <w:lang w:val="ru-RU"/>
              </w:rPr>
              <w:instrText>5</w:instrText>
            </w:r>
            <w:r w:rsidR="00BF2A7A">
              <w:instrText>TAR</w:instrText>
            </w:r>
            <w:r w:rsidR="00BF2A7A" w:rsidRPr="006B69EB">
              <w:rPr>
                <w:lang w:val="ru-RU"/>
              </w:rPr>
              <w:instrText xml:space="preserve">" </w:instrText>
            </w:r>
            <w:r w:rsidR="00BF2A7A">
              <w:fldChar w:fldCharType="separate"/>
            </w:r>
            <w:r w:rsidRPr="006269F8">
              <w:rPr>
                <w:rFonts w:eastAsiaTheme="minorHAnsi"/>
                <w:color w:val="0000FF"/>
                <w:lang w:val="ru-RU"/>
              </w:rPr>
              <w:t>СанПиН 2.4.1.3049-13</w:t>
            </w:r>
            <w:r w:rsidR="00BF2A7A">
              <w:rPr>
                <w:rFonts w:eastAsiaTheme="minorHAnsi"/>
                <w:color w:val="0000FF"/>
                <w:lang w:val="ru-RU"/>
              </w:rPr>
              <w:fldChar w:fldCharType="end"/>
            </w:r>
            <w:r>
              <w:rPr>
                <w:rStyle w:val="a6"/>
                <w:rFonts w:eastAsiaTheme="minorHAnsi"/>
              </w:rPr>
              <w:footnoteReference w:id="2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</w:t>
            </w:r>
            <w:r w:rsidRPr="006269F8">
              <w:rPr>
                <w:rFonts w:eastAsiaTheme="minorHAnsi"/>
                <w:lang w:val="ru-RU"/>
              </w:rPr>
              <w:t xml:space="preserve">средств обучения и воспитания (в том числе </w:t>
            </w:r>
            <w:proofErr w:type="gramStart"/>
            <w:r w:rsidRPr="006269F8">
              <w:rPr>
                <w:rFonts w:eastAsiaTheme="minorHAnsi"/>
                <w:lang w:val="ru-RU"/>
              </w:rPr>
              <w:t>техническими</w:t>
            </w:r>
            <w:proofErr w:type="gramEnd"/>
            <w:r w:rsidRPr="006269F8">
              <w:rPr>
                <w:rFonts w:eastAsiaTheme="minorHAnsi"/>
                <w:lang w:val="ru-RU"/>
              </w:rPr>
              <w:t xml:space="preserve">), соответствующих </w:t>
            </w:r>
            <w:r w:rsidRPr="006269F8">
              <w:rPr>
                <w:rFonts w:eastAsiaTheme="minorHAnsi"/>
                <w:lang w:val="ru-RU"/>
              </w:rPr>
              <w:lastRenderedPageBreak/>
              <w:t>материалов, в том числе расходных игровых, спортивного, оздоровительного оборудования, 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Доступность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Безопасность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предметно-пространственной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sz w:val="28"/>
          <w:szCs w:val="28"/>
        </w:rPr>
      </w:pP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30"/>
        <w:gridCol w:w="1857"/>
        <w:gridCol w:w="1520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  <w:sz w:val="28"/>
                <w:szCs w:val="28"/>
              </w:rPr>
              <w:footnoteReference w:id="3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</w:rPr>
              <w:footnoteReference w:id="4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</w:t>
            </w:r>
            <w:r w:rsidRPr="006269F8">
              <w:rPr>
                <w:rFonts w:eastAsiaTheme="minorHAnsi"/>
                <w:lang w:val="ru-RU"/>
              </w:rPr>
              <w:lastRenderedPageBreak/>
              <w:t>работники, имеющие соответствующую квалификацию</w:t>
            </w:r>
          </w:p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rFonts w:eastAsiaTheme="minorHAnsi"/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1"/>
        <w:gridCol w:w="1862"/>
        <w:gridCol w:w="1524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P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 xml:space="preserve">2.2.5. Соблюдение требований к </w:t>
      </w:r>
      <w:r w:rsidRPr="006269F8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9"/>
        <w:gridCol w:w="1858"/>
        <w:gridCol w:w="1521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6269F8" w:rsidTr="00B2743F">
        <w:tc>
          <w:tcPr>
            <w:tcW w:w="4077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E26C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6269F8" w:rsidRP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269F8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6269F8" w:rsidRDefault="006269F8" w:rsidP="00B2743F">
            <w:pPr>
              <w:rPr>
                <w:sz w:val="28"/>
                <w:szCs w:val="28"/>
              </w:rPr>
            </w:pPr>
          </w:p>
        </w:tc>
      </w:tr>
    </w:tbl>
    <w:p w:rsidR="00FE76DA" w:rsidRDefault="00FE76DA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  <w:sectPr w:rsidR="00DE3ED7" w:rsidSect="006269F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ED7" w:rsidRPr="00DE3ED7" w:rsidRDefault="00DE3ED7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lastRenderedPageBreak/>
        <w:t xml:space="preserve">Заключение о соответствии (несоответствии) </w:t>
      </w:r>
      <w:r w:rsidR="001C57BD"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>
              <w:rPr>
                <w:sz w:val="28"/>
                <w:szCs w:val="28"/>
                <w:lang w:val="ru-RU"/>
              </w:rPr>
              <w:t>Новомакинский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сад»</w:t>
            </w:r>
          </w:p>
        </w:tc>
      </w:tr>
      <w:tr w:rsidR="00E833AD" w:rsidRPr="006B69E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Сулейман-Стальский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овая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Мака</w:t>
            </w: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Мирзоева </w:t>
            </w:r>
            <w:proofErr w:type="spellStart"/>
            <w:r>
              <w:rPr>
                <w:sz w:val="28"/>
                <w:szCs w:val="28"/>
                <w:lang w:val="ru-RU"/>
              </w:rPr>
              <w:t>Зарефа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Ахмадовна</w:t>
            </w:r>
            <w:proofErr w:type="spellEnd"/>
          </w:p>
        </w:tc>
      </w:tr>
      <w:tr w:rsidR="00E833AD" w:rsidTr="00E833AD">
        <w:tc>
          <w:tcPr>
            <w:tcW w:w="9889" w:type="dxa"/>
            <w:gridSpan w:val="2"/>
          </w:tcPr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общеобразовательная программа ДОО.</w:t>
            </w:r>
          </w:p>
        </w:tc>
      </w:tr>
      <w:tr w:rsidR="00E833AD" w:rsidRPr="006B69E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</w:tcPr>
          <w:p w:rsidR="00CE7E1C" w:rsidRDefault="00CE7E1C" w:rsidP="00CE7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</w:t>
            </w:r>
            <w:r w:rsidR="001C57BD">
              <w:rPr>
                <w:rFonts w:eastAsiaTheme="minorHAnsi"/>
                <w:sz w:val="28"/>
                <w:szCs w:val="28"/>
                <w:lang w:val="ru-RU" w:bidi="ar-SA"/>
              </w:rPr>
              <w:t xml:space="preserve"> (далее – ФГОС)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E833AD" w:rsidRPr="006B69E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</w:t>
            </w:r>
            <w:r w:rsidR="001C57BD">
              <w:rPr>
                <w:sz w:val="28"/>
                <w:szCs w:val="28"/>
                <w:lang w:val="ru-RU"/>
              </w:rPr>
              <w:t xml:space="preserve"> требованиям ФГОС по структуре</w:t>
            </w:r>
            <w:r w:rsidR="001C57BD">
              <w:rPr>
                <w:rStyle w:val="a6"/>
                <w:sz w:val="28"/>
                <w:szCs w:val="28"/>
                <w:lang w:val="ru-RU"/>
              </w:rPr>
              <w:footnoteReference w:id="5"/>
            </w:r>
          </w:p>
        </w:tc>
      </w:tr>
    </w:tbl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3B230B" w:rsidTr="00B2743F">
        <w:tc>
          <w:tcPr>
            <w:tcW w:w="4077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B230B" w:rsidRPr="006269F8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3B230B" w:rsidRDefault="003B230B" w:rsidP="00B2743F">
            <w:pPr>
              <w:rPr>
                <w:sz w:val="28"/>
                <w:szCs w:val="28"/>
              </w:rPr>
            </w:pPr>
          </w:p>
        </w:tc>
      </w:tr>
    </w:tbl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9B0710" w:rsidRDefault="009B0710" w:rsidP="00BA4944">
      <w:pPr>
        <w:pStyle w:val="ab"/>
        <w:jc w:val="center"/>
        <w:rPr>
          <w:sz w:val="28"/>
          <w:szCs w:val="28"/>
        </w:rPr>
      </w:pPr>
    </w:p>
    <w:sectPr w:rsidR="009B0710" w:rsidSect="00DE3ED7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7A" w:rsidRDefault="00BF2A7A" w:rsidP="00E647F7">
      <w:r>
        <w:separator/>
      </w:r>
    </w:p>
  </w:endnote>
  <w:endnote w:type="continuationSeparator" w:id="0">
    <w:p w:rsidR="00BF2A7A" w:rsidRDefault="00BF2A7A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7A" w:rsidRDefault="00BF2A7A" w:rsidP="00E647F7">
      <w:r>
        <w:separator/>
      </w:r>
    </w:p>
  </w:footnote>
  <w:footnote w:type="continuationSeparator" w:id="0">
    <w:p w:rsidR="00BF2A7A" w:rsidRDefault="00BF2A7A" w:rsidP="00E647F7">
      <w:r>
        <w:continuationSeparator/>
      </w:r>
    </w:p>
  </w:footnote>
  <w:footnote w:id="1">
    <w:p w:rsidR="009F21B6" w:rsidRDefault="009F21B6">
      <w:pPr>
        <w:pStyle w:val="a4"/>
      </w:pPr>
      <w:r>
        <w:rPr>
          <w:rStyle w:val="a6"/>
        </w:rPr>
        <w:footnoteRef/>
      </w:r>
      <w:r>
        <w:t xml:space="preserve"> Разделы 2.1-2.2.5 заполняются в разрезе каждой организации</w:t>
      </w:r>
    </w:p>
  </w:footnote>
  <w:footnote w:id="2">
    <w:p w:rsidR="009F21B6" w:rsidRDefault="009F21B6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rFonts w:eastAsiaTheme="minorHAnsi"/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3">
    <w:p w:rsidR="009F21B6" w:rsidRPr="00D6160E" w:rsidRDefault="009F21B6" w:rsidP="006269F8">
      <w:pPr>
        <w:pStyle w:val="a4"/>
        <w:jc w:val="both"/>
        <w:rPr>
          <w:sz w:val="24"/>
          <w:szCs w:val="24"/>
        </w:rPr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proofErr w:type="spellStart"/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rFonts w:eastAsiaTheme="minorHAnsi"/>
          <w:sz w:val="24"/>
          <w:szCs w:val="24"/>
          <w:lang w:eastAsia="en-US"/>
        </w:rPr>
        <w:t>, регистрационный № 18638)</w:t>
      </w:r>
    </w:p>
  </w:footnote>
  <w:footnote w:id="4">
    <w:p w:rsidR="009F21B6" w:rsidRDefault="009F21B6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proofErr w:type="spellStart"/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18638</w:t>
      </w:r>
      <w:r>
        <w:rPr>
          <w:rFonts w:eastAsiaTheme="minorHAnsi"/>
          <w:sz w:val="24"/>
          <w:szCs w:val="24"/>
          <w:lang w:eastAsia="en-US"/>
        </w:rPr>
        <w:t>)</w:t>
      </w:r>
    </w:p>
  </w:footnote>
  <w:footnote w:id="5">
    <w:p w:rsidR="009F21B6" w:rsidRDefault="009F21B6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04710"/>
    </w:sdtPr>
    <w:sdtEndPr/>
    <w:sdtContent>
      <w:p w:rsidR="009F21B6" w:rsidRDefault="009F21B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9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21B6" w:rsidRDefault="009F21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</w:lvl>
    <w:lvl w:ilvl="2" w:tplc="8766E23C">
      <w:numFmt w:val="none"/>
      <w:lvlText w:val=""/>
      <w:lvlJc w:val="left"/>
      <w:pPr>
        <w:tabs>
          <w:tab w:val="num" w:pos="502"/>
        </w:tabs>
      </w:pPr>
    </w:lvl>
    <w:lvl w:ilvl="3" w:tplc="AB52E32A">
      <w:numFmt w:val="none"/>
      <w:lvlText w:val=""/>
      <w:lvlJc w:val="left"/>
      <w:pPr>
        <w:tabs>
          <w:tab w:val="num" w:pos="502"/>
        </w:tabs>
      </w:pPr>
    </w:lvl>
    <w:lvl w:ilvl="4" w:tplc="6B6EBB58">
      <w:numFmt w:val="none"/>
      <w:lvlText w:val=""/>
      <w:lvlJc w:val="left"/>
      <w:pPr>
        <w:tabs>
          <w:tab w:val="num" w:pos="502"/>
        </w:tabs>
      </w:pPr>
    </w:lvl>
    <w:lvl w:ilvl="5" w:tplc="A9A0EB74">
      <w:numFmt w:val="none"/>
      <w:lvlText w:val=""/>
      <w:lvlJc w:val="left"/>
      <w:pPr>
        <w:tabs>
          <w:tab w:val="num" w:pos="502"/>
        </w:tabs>
      </w:pPr>
    </w:lvl>
    <w:lvl w:ilvl="6" w:tplc="5EDED816">
      <w:numFmt w:val="none"/>
      <w:lvlText w:val=""/>
      <w:lvlJc w:val="left"/>
      <w:pPr>
        <w:tabs>
          <w:tab w:val="num" w:pos="502"/>
        </w:tabs>
      </w:pPr>
    </w:lvl>
    <w:lvl w:ilvl="7" w:tplc="77FEAC04">
      <w:numFmt w:val="none"/>
      <w:lvlText w:val=""/>
      <w:lvlJc w:val="left"/>
      <w:pPr>
        <w:tabs>
          <w:tab w:val="num" w:pos="502"/>
        </w:tabs>
      </w:pPr>
    </w:lvl>
    <w:lvl w:ilvl="8" w:tplc="8DE2A486">
      <w:numFmt w:val="none"/>
      <w:lvlText w:val=""/>
      <w:lvlJc w:val="left"/>
      <w:pPr>
        <w:tabs>
          <w:tab w:val="num" w:pos="502"/>
        </w:tabs>
      </w:p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6DA"/>
    <w:rsid w:val="000004E1"/>
    <w:rsid w:val="00051165"/>
    <w:rsid w:val="00062338"/>
    <w:rsid w:val="0009558F"/>
    <w:rsid w:val="00097E10"/>
    <w:rsid w:val="000B5CCE"/>
    <w:rsid w:val="000C41AA"/>
    <w:rsid w:val="001343C9"/>
    <w:rsid w:val="00140AA6"/>
    <w:rsid w:val="001539EB"/>
    <w:rsid w:val="00185943"/>
    <w:rsid w:val="00193681"/>
    <w:rsid w:val="001C57BD"/>
    <w:rsid w:val="001F5AEB"/>
    <w:rsid w:val="002539A1"/>
    <w:rsid w:val="002939A0"/>
    <w:rsid w:val="00295CB7"/>
    <w:rsid w:val="002C5625"/>
    <w:rsid w:val="00322B36"/>
    <w:rsid w:val="00333E4F"/>
    <w:rsid w:val="003B230B"/>
    <w:rsid w:val="003D5953"/>
    <w:rsid w:val="003E12F6"/>
    <w:rsid w:val="003F0477"/>
    <w:rsid w:val="003F25EB"/>
    <w:rsid w:val="003F5B79"/>
    <w:rsid w:val="00422F19"/>
    <w:rsid w:val="00471925"/>
    <w:rsid w:val="00475C17"/>
    <w:rsid w:val="004765F2"/>
    <w:rsid w:val="004B2ADC"/>
    <w:rsid w:val="004B558A"/>
    <w:rsid w:val="0052680B"/>
    <w:rsid w:val="005535AF"/>
    <w:rsid w:val="005732AC"/>
    <w:rsid w:val="00581486"/>
    <w:rsid w:val="00581920"/>
    <w:rsid w:val="00586CD0"/>
    <w:rsid w:val="00590B10"/>
    <w:rsid w:val="005C5996"/>
    <w:rsid w:val="005D3F39"/>
    <w:rsid w:val="005F03B6"/>
    <w:rsid w:val="00612DE6"/>
    <w:rsid w:val="006225C8"/>
    <w:rsid w:val="006269F8"/>
    <w:rsid w:val="00627DA8"/>
    <w:rsid w:val="00656DDA"/>
    <w:rsid w:val="00684429"/>
    <w:rsid w:val="006B5784"/>
    <w:rsid w:val="006B69EB"/>
    <w:rsid w:val="00723B11"/>
    <w:rsid w:val="0073382B"/>
    <w:rsid w:val="00745427"/>
    <w:rsid w:val="0079170F"/>
    <w:rsid w:val="007B4188"/>
    <w:rsid w:val="007B712E"/>
    <w:rsid w:val="007D36A8"/>
    <w:rsid w:val="00824206"/>
    <w:rsid w:val="00830B04"/>
    <w:rsid w:val="008449C9"/>
    <w:rsid w:val="0088717C"/>
    <w:rsid w:val="00892540"/>
    <w:rsid w:val="008C2C63"/>
    <w:rsid w:val="0090049D"/>
    <w:rsid w:val="00950AFD"/>
    <w:rsid w:val="00990321"/>
    <w:rsid w:val="009B0710"/>
    <w:rsid w:val="009E0418"/>
    <w:rsid w:val="009E192C"/>
    <w:rsid w:val="009E1F75"/>
    <w:rsid w:val="009F21B6"/>
    <w:rsid w:val="00A41261"/>
    <w:rsid w:val="00A4602D"/>
    <w:rsid w:val="00A56E8E"/>
    <w:rsid w:val="00AB2428"/>
    <w:rsid w:val="00AE7BA4"/>
    <w:rsid w:val="00B2743F"/>
    <w:rsid w:val="00B44882"/>
    <w:rsid w:val="00B661C1"/>
    <w:rsid w:val="00B6741D"/>
    <w:rsid w:val="00BA4944"/>
    <w:rsid w:val="00BA6E59"/>
    <w:rsid w:val="00BB4FFD"/>
    <w:rsid w:val="00BB70F5"/>
    <w:rsid w:val="00BC06BC"/>
    <w:rsid w:val="00BF2A7A"/>
    <w:rsid w:val="00C02F39"/>
    <w:rsid w:val="00C05E81"/>
    <w:rsid w:val="00C06BF1"/>
    <w:rsid w:val="00C363B2"/>
    <w:rsid w:val="00C42FFC"/>
    <w:rsid w:val="00C55FA1"/>
    <w:rsid w:val="00C71D8B"/>
    <w:rsid w:val="00C756AC"/>
    <w:rsid w:val="00C87329"/>
    <w:rsid w:val="00C92AD5"/>
    <w:rsid w:val="00CA3298"/>
    <w:rsid w:val="00CD1EE3"/>
    <w:rsid w:val="00CD710F"/>
    <w:rsid w:val="00CD7963"/>
    <w:rsid w:val="00CE7E1C"/>
    <w:rsid w:val="00D11F7B"/>
    <w:rsid w:val="00D3355F"/>
    <w:rsid w:val="00D359E3"/>
    <w:rsid w:val="00D901C9"/>
    <w:rsid w:val="00D976A8"/>
    <w:rsid w:val="00DB4BFA"/>
    <w:rsid w:val="00DB6DC3"/>
    <w:rsid w:val="00DD5A04"/>
    <w:rsid w:val="00DE3ED7"/>
    <w:rsid w:val="00E03E46"/>
    <w:rsid w:val="00E041A6"/>
    <w:rsid w:val="00E10D29"/>
    <w:rsid w:val="00E26C94"/>
    <w:rsid w:val="00E31948"/>
    <w:rsid w:val="00E31F7E"/>
    <w:rsid w:val="00E42D79"/>
    <w:rsid w:val="00E647F7"/>
    <w:rsid w:val="00E75E9B"/>
    <w:rsid w:val="00E833AD"/>
    <w:rsid w:val="00EA7461"/>
    <w:rsid w:val="00EB5C35"/>
    <w:rsid w:val="00EE07E6"/>
    <w:rsid w:val="00F00070"/>
    <w:rsid w:val="00F07D99"/>
    <w:rsid w:val="00F64CD4"/>
    <w:rsid w:val="00F73276"/>
    <w:rsid w:val="00F828FC"/>
    <w:rsid w:val="00FB51AB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B8EB-A0EC-41EA-8731-1F68F4C1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103</cp:revision>
  <cp:lastPrinted>2017-03-28T10:47:00Z</cp:lastPrinted>
  <dcterms:created xsi:type="dcterms:W3CDTF">2017-02-13T15:07:00Z</dcterms:created>
  <dcterms:modified xsi:type="dcterms:W3CDTF">2017-03-28T10:47:00Z</dcterms:modified>
</cp:coreProperties>
</file>