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BE" w:rsidRPr="00473CBE" w:rsidRDefault="00473CBE" w:rsidP="00473CBE">
      <w:pPr>
        <w:spacing w:after="0" w:line="270" w:lineRule="atLeast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73CBE">
        <w:rPr>
          <w:rFonts w:ascii="Arial" w:eastAsia="Times New Roman" w:hAnsi="Arial" w:cs="Arial"/>
          <w:sz w:val="27"/>
          <w:szCs w:val="27"/>
          <w:lang w:eastAsia="ru-RU"/>
        </w:rPr>
        <w:t>Приказ Министерства образования и науки РФ</w:t>
      </w:r>
    </w:p>
    <w:p w:rsidR="00473CBE" w:rsidRPr="00473CBE" w:rsidRDefault="00473CBE" w:rsidP="00473CBE">
      <w:pPr>
        <w:spacing w:after="0" w:line="270" w:lineRule="atLeast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73CBE">
        <w:rPr>
          <w:rFonts w:ascii="Arial" w:eastAsia="Times New Roman" w:hAnsi="Arial" w:cs="Arial"/>
          <w:sz w:val="27"/>
          <w:szCs w:val="27"/>
          <w:lang w:eastAsia="ru-RU"/>
        </w:rPr>
        <w:t>от 31 декабря 2015 г. № 1578</w:t>
      </w:r>
    </w:p>
    <w:p w:rsidR="00473CBE" w:rsidRPr="00473CBE" w:rsidRDefault="00473CBE" w:rsidP="00473CBE">
      <w:pPr>
        <w:spacing w:after="0" w:line="270" w:lineRule="atLeast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73CBE">
        <w:rPr>
          <w:rFonts w:ascii="Arial" w:eastAsia="Times New Roman" w:hAnsi="Arial" w:cs="Arial"/>
          <w:sz w:val="27"/>
          <w:szCs w:val="27"/>
          <w:lang w:eastAsia="ru-RU"/>
        </w:rPr>
        <w:t>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 г. № 413»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соответствии с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подпунктом 5.2.41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Положения о Министерстве образования и науки Российской Федерации, утвержденного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постановлением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Правительства Российской Федерации от 3 июня 2013 г. № 466 (Собрание законодательства Российской Федерации, 2013, № 23, ст. 2923; № 33, ст. 4386; № 37, ст. 4702; 2014, № 2, ст. 126; № 6, ст. 582; № 27, ст. 3776; 2015, № 26, ст. 3898; № 43, ст. 5976), 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пунктом 20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постановлением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Правительства Российской Федерации от 5 августа 2013 г. № 661 (Собрание законодательства Российской Федерации, 2013, № 33, ст. 4377; 2014, № 38, ст. 5069), приказываю: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Утвердить прилагаемые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изменения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которые вносятся в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федеральный государственный образовательный стандарт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среднего общего образования, утвержденный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приказом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Министерства образования и науки Российской Федерации от 17 мая 2012 г. № 413 (зарегистрирован Министерством юстиции Российской Федерации 7 июня 2012 г., регистрационный № 24480), с изменениями, внесенными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приказом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Министерства образования и науки Российской Федерации от 29 декабря 2014 г. № 1645 (зарегистрирован Министерством юстиции Российской Федерации 9 февраля 2015 г., регистрационный № 35953).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Министр Д. В. Ливанов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Зарегистрировано в Минюсте РФ 9 февраля 2016 г.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Регистрационный № 41020</w:t>
      </w:r>
    </w:p>
    <w:p w:rsidR="00473CBE" w:rsidRPr="00473CBE" w:rsidRDefault="00473CBE" w:rsidP="00473CBE">
      <w:pPr>
        <w:spacing w:before="225" w:after="225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Приложение</w:t>
      </w:r>
    </w:p>
    <w:p w:rsidR="00473CBE" w:rsidRPr="00473CBE" w:rsidRDefault="00473CBE" w:rsidP="00473CBE">
      <w:pPr>
        <w:spacing w:after="0" w:line="270" w:lineRule="atLeast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Изменения, которые вносятся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</w:t>
      </w:r>
      <w:r w:rsidRPr="00473CBE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(утв. приказом Министерства образования и науки РФ от 31 декабря 2015 г. № 1578)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пунктом 7.1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«7.1. Личностные результаты освоения адаптированной основной образовательной программы должны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для глухих, слабослышащих, позднооглохших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для обучающихся с нарушениями опорно-двигательного аппарата: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способность к осмыслению и дифференциации картины мира, ее временно-пространственной организации;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для обучающихся с расстройствами аутистического спектра: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знание своих предпочтений (ограничений) в бытовой сфере и сфере интересов.».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пунктом 8.1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«8.1. Метапредметные результаты освоения адаптированной основной образовательной программы должны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для глухих, слабослышащих, позднооглохших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владение навыками определения и исправления специфических ошибок (аграмматизмов) в письменной и устной речи;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для обучающихся с расстройствами аутентического спектра: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умением оценивать результат своей деятельности в соответствии с заданными эталонами при организующей помощи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умением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умением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 9.1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изложить в следующей редакции: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«9.1. Русский язык и литература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Изучение предметной области «Русский язык и литература» –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внутренний мир человека, в том числе при помощи альтернативных средств коммуникации, должно обеспечить: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чувства причастности к российским свершениям, традициям и осознание исторической преемственности поколений;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Предметные результаты изучения предметной области «Русский язык и литература» включают результаты изучения учебных предметов: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«Русский язык», «Литература» (базовый уровень) – требования к предметным результатам освоения базового курса русского языка и литературы должны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владение навыками самоанализа и самооценки на основе наблюдений за собственной речью;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сформированность представлений об изобразительно-выразительных возможностях русского языка;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10) сформированность представлений о системе стилей языка художественной литературы;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11) для слепых, слабовидящих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навыков письма на брайлевской печатной машинке;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12) для глухих, слабослышащих, позднооглохших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и развитие основных видов речевой деятельности обучающихся – слухозрительного восприятия (с использованием слуховых аппаратов и (или) кохлеарных имплантов), говорения, чтения, письма;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13) для обучающихся с расстройствами аутистического спектра: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«Русский язык», «Литература» (углубленный уровень) –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сформированность представлений о лингвистике как части общечеловеческого гуманитарного знания;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сформированность представлений о языке как многофункциональной развивающейся системе, о стилистических ресурсах языка;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владение знаниями о языковой норме, ее функциях и вариантах, о нормах речевого поведения в различных сферах и ситуациях общения;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владение различными приемами редактирования текстов;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9) владение навыками комплексного филологического анализа художественного текста;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11) владение начальными навыками литературоведческого исследования историко- и теоретико-литературного характера;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12)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13) сформированность представлений о принципах основных направлений литературной критики.».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Пункты 9.1.1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9.1.2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исключить.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5. Дополнить новыми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пунктами 9.2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9.3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«9.2. Родной язык и родная литература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Изучение предметной области «Родной язык и родная литература» должно обеспечить: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Предметные результаты изучения предметной области «Родной язык и родная литература» включают предметные результаты учебных предметов: «Родной язык», «Родная литература» (базовый и углубленный уровень) – требования к предметным результатам освоения базового курса родного языка и родной литературы должны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сформированность понятий о нормах родного языка и применение знаний о них в речевой практике;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анализа словосочетания и предложения, а также многоаспектного анализа текста на родном языке;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8)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9) 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11) сформированность навыков понимания литературных художественных произведений, отражающих разные этнокультурные традиции.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9.3. Иностранные языки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Предметные результаты изучения предметной области «Иностранные языки» включают предметные результаты изучения учебных предметов: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«Иностранный язык», «Второй иностранный язык» (базовый уровень) – требования к предметным результатам освоения базового курса иностранного языка должны отражать: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Примечание: Нумерация подпунктов приводится в соответствии с источником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сформированность умения перевода с иностранного языка на русский при работе с несложными текстами в русле выбранного профиля;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владение иностранным языком как одним из средств формирования учебно-исследовательских умений, расширения своих знаний в других предметных областях.».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6. Пункты 9.2–9.5 считать соответственно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пунктами 9.4–9.7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Подраздел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«Математика: алгебра и начала математического анализа, геометрия» (базовый уровень) пункта 9.5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подпунктами 9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10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«9) для слепых и слабовидящих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правилами записи математических формул и специальных знаков рельефно-точечной системы обозначений Л. Брайля;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наличие умения выполнять геометрические построения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черчения («Драфтсмен», «Школьник»);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10) для обучающихся с нарушениями опорно-двигательного аппарата: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наличие умения использовать персональные средства доступа.».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8. В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пункте 9.6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а)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подраздел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«Физика» (базовый уровень)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подпунктом 7)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«7) овладение (сформированность представлений) правилами записи физических формул рельефно-точечной системы обозначений Л. Брайля (для слепых и слабовидящих обучающихся).»;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б)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подраздел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«Химия» (базовый уровень)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подпунктами 7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«7) для обучающихся с ограниченными возможностями здоровья овладение основными доступными методами научного познания;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8) для слепых и слабовидящих обучающихся овладение правилами записи химических формул с использованием рельефно-точечной системы обозначений Л. Брайля.».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9. 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Подраздел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«Физическая культура» (базовый уровень) пункта 9.7 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подпунктами 6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7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«6) для слепых и слабовидящих обучающихся: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приемов осязательного и слухового самоконтроля в процессе формирования трудовых действий;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сформированность представлений о современных бытовых тифлотехнических средствах, приборах и их применении в повседневной жизни;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7) для обучающихся с нарушениями опорно-двигательного аппарата: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речедвигательных и сенсорных нарушений;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 18.2.2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изложить в следующей редакции: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«18.2.2.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программ, включенных в ее структуру.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Рабочие программы учебных предметов, курсов должны содержать: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планируемые результаты освоения учебного предмета, курса;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содержание учебного предмета, курса;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Рабочие программы курсов внеурочной деятельности должны содержать: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результаты освоения курса внеурочной деятельности;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содержание курса внеурочной деятельности с указанием форм организации и видов деятельности;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тематическое планирование.».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11. В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пункте 18.3.1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sz w:val="21"/>
          <w:szCs w:val="21"/>
          <w:lang w:eastAsia="ru-RU"/>
        </w:rPr>
        <w:t>абзацы восьмой-одиннадцатый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изложить в следующей редакции: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«Предметная область «Русский язык и литература», включающая учебные предметы: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«Русский язык», «Литература» (базовый и углубленный уровни).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Предметная область «Родной язык и родная литература», включающая учебные предметы: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«Родной язык», «Родная литература» (базовый уровень и углубленный уровень).»;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Примечание. По-видимому, в тексте предыдущего абзаца допущена опечатка. Вместо «абзацы восьмой-одиннадцатый» имеется в виду «абзацы девятый-одиннадцатый»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абзацы двенадцатый - тридцать третий считать соответственно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абзацами тринадцатым - тридцать четвертым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абзаце тридцать девятом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цифры «9 (10)» заменить цифрами «10 (11)», слова «"Русский язык и литература"» заменить словами «"Русский язык", "Литература"».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12. 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Пункт 22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дополнить </w:t>
      </w:r>
      <w:r w:rsidRPr="00473CBE">
        <w:rPr>
          <w:rFonts w:ascii="Arial" w:eastAsia="Times New Roman" w:hAnsi="Arial" w:cs="Arial"/>
          <w:sz w:val="21"/>
          <w:szCs w:val="21"/>
          <w:lang w:eastAsia="ru-RU"/>
        </w:rPr>
        <w:t>абзацем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следующего содержания:</w:t>
      </w:r>
    </w:p>
    <w:p w:rsidR="00473CBE" w:rsidRPr="00473CBE" w:rsidRDefault="00473CBE" w:rsidP="00473CBE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«Организация, осуществляющая образовательную деятельность и реализующая адаптированную основную образовательную программу, должна быть укомплектована </w:t>
      </w:r>
      <w:r w:rsidRPr="00473CB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педагогическими работниками, владеющими специальными педагогическими подходами и методами обучения и воспитания обучающихся с ограниченными возможностями здоровья.».</w:t>
      </w:r>
    </w:p>
    <w:p w:rsidR="00D120F1" w:rsidRDefault="00D120F1">
      <w:bookmarkStart w:id="0" w:name="_GoBack"/>
      <w:bookmarkEnd w:id="0"/>
    </w:p>
    <w:sectPr w:rsidR="00D1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BE"/>
    <w:rsid w:val="00473CBE"/>
    <w:rsid w:val="00D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1</cp:revision>
  <dcterms:created xsi:type="dcterms:W3CDTF">2017-10-25T12:41:00Z</dcterms:created>
  <dcterms:modified xsi:type="dcterms:W3CDTF">2017-10-25T12:42:00Z</dcterms:modified>
</cp:coreProperties>
</file>